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520" w:lineRule="exact"/>
        <w:ind w:firstLine="600" w:firstLineChars="200"/>
        <w:jc w:val="right"/>
        <w:rPr>
          <w:rFonts w:hint="eastAsia" w:ascii="宋体" w:hAnsi="宋体" w:eastAsia="宋体"/>
          <w:sz w:val="30"/>
          <w:szCs w:val="30"/>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20" w:lineRule="exact"/>
        <w:ind w:firstLine="0" w:firstLineChars="0"/>
        <w:jc w:val="left"/>
        <w:textAlignment w:val="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附件1：</w:t>
      </w:r>
    </w:p>
    <w:p>
      <w:pPr>
        <w:pStyle w:val="6"/>
        <w:keepNext w:val="0"/>
        <w:keepLines w:val="0"/>
        <w:pageBreakBefore w:val="0"/>
        <w:widowControl w:val="0"/>
        <w:kinsoku/>
        <w:wordWrap/>
        <w:overflowPunct/>
        <w:topLinePunct w:val="0"/>
        <w:autoSpaceDE/>
        <w:autoSpaceDN/>
        <w:bidi w:val="0"/>
        <w:adjustRightInd/>
        <w:snapToGrid w:val="0"/>
        <w:spacing w:line="520" w:lineRule="exact"/>
        <w:ind w:firstLine="0" w:firstLineChars="0"/>
        <w:jc w:val="left"/>
        <w:textAlignment w:val="auto"/>
        <w:rPr>
          <w:rFonts w:hint="default" w:ascii="宋体" w:hAnsi="宋体" w:eastAsia="宋体"/>
          <w:b/>
          <w:bCs/>
          <w:sz w:val="30"/>
          <w:szCs w:val="30"/>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宋体" w:hAnsi="宋体" w:eastAsia="宋体"/>
          <w:b/>
          <w:bCs/>
          <w:sz w:val="32"/>
          <w:szCs w:val="32"/>
          <w:lang w:val="zh-TW"/>
        </w:rPr>
      </w:pPr>
      <w:r>
        <w:rPr>
          <w:rFonts w:hint="eastAsia" w:ascii="宋体" w:hAnsi="宋体" w:eastAsia="宋体"/>
          <w:b/>
          <w:bCs/>
          <w:sz w:val="32"/>
          <w:szCs w:val="32"/>
          <w:lang w:val="zh-TW"/>
        </w:rPr>
        <w:t>企事业单位财会管理规范化评价认定</w:t>
      </w:r>
      <w:r>
        <w:rPr>
          <w:rFonts w:hint="eastAsia" w:ascii="宋体" w:hAnsi="宋体" w:eastAsia="宋体"/>
          <w:b/>
          <w:bCs/>
          <w:sz w:val="32"/>
          <w:szCs w:val="32"/>
          <w:lang w:val="en-US" w:eastAsia="zh-CN"/>
        </w:rPr>
        <w:t>方案（试行）</w:t>
      </w:r>
    </w:p>
    <w:p>
      <w:pPr>
        <w:pStyle w:val="6"/>
        <w:snapToGrid w:val="0"/>
        <w:spacing w:line="520" w:lineRule="exact"/>
        <w:ind w:firstLine="602" w:firstLineChars="200"/>
        <w:rPr>
          <w:rFonts w:hint="eastAsia" w:ascii="宋体" w:hAnsi="宋体" w:eastAsia="宋体"/>
          <w:b/>
          <w:sz w:val="30"/>
          <w:szCs w:val="30"/>
          <w:lang w:val="zh-TW"/>
        </w:rPr>
      </w:pPr>
    </w:p>
    <w:p>
      <w:pPr>
        <w:pStyle w:val="6"/>
        <w:snapToGrid w:val="0"/>
        <w:spacing w:line="520" w:lineRule="exact"/>
        <w:ind w:firstLine="602" w:firstLineChars="200"/>
        <w:rPr>
          <w:rFonts w:ascii="宋体" w:hAnsi="宋体" w:eastAsia="宋体"/>
          <w:b/>
          <w:sz w:val="30"/>
          <w:szCs w:val="30"/>
          <w:lang w:val="zh-TW"/>
        </w:rPr>
      </w:pPr>
      <w:r>
        <w:rPr>
          <w:rFonts w:hint="eastAsia" w:ascii="宋体" w:hAnsi="宋体" w:eastAsia="宋体"/>
          <w:b/>
          <w:sz w:val="30"/>
          <w:szCs w:val="30"/>
          <w:lang w:val="zh-TW"/>
        </w:rPr>
        <w:t>一、宗旨</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为了提高我市企事业单位财会管理的规范性和合规性，为财务经营数据的真实可靠和单位的可持续发展提供更多保障，深圳市会计协会（以下简称协会或本会）发挥自身行业协会的职能作用，以理念创新、机制创新、模式创新为指导，</w:t>
      </w:r>
      <w:r>
        <w:rPr>
          <w:rFonts w:hint="eastAsia" w:ascii="宋体" w:hAnsi="宋体" w:eastAsia="宋体"/>
          <w:sz w:val="30"/>
          <w:szCs w:val="30"/>
          <w:lang w:val="en-US" w:eastAsia="zh-CN"/>
        </w:rPr>
        <w:t>以</w:t>
      </w:r>
      <w:r>
        <w:rPr>
          <w:rFonts w:hint="eastAsia" w:ascii="宋体" w:hAnsi="宋体" w:eastAsia="宋体"/>
          <w:sz w:val="30"/>
          <w:szCs w:val="30"/>
          <w:lang w:val="zh-TW"/>
        </w:rPr>
        <w:t>国家相关法律法规制度规定为准绳，在全市推行企事业单位“财会管理规范化评价认定”工作。</w:t>
      </w:r>
    </w:p>
    <w:p>
      <w:pPr>
        <w:pStyle w:val="6"/>
        <w:snapToGrid w:val="0"/>
        <w:spacing w:line="520" w:lineRule="exact"/>
        <w:ind w:firstLine="602" w:firstLineChars="200"/>
        <w:rPr>
          <w:rFonts w:ascii="宋体" w:hAnsi="宋体" w:eastAsia="宋体"/>
          <w:b/>
          <w:sz w:val="30"/>
          <w:szCs w:val="30"/>
          <w:lang w:val="zh-TW"/>
        </w:rPr>
      </w:pPr>
      <w:r>
        <w:rPr>
          <w:rFonts w:hint="eastAsia" w:ascii="宋体" w:hAnsi="宋体" w:eastAsia="宋体"/>
          <w:b/>
          <w:sz w:val="30"/>
          <w:szCs w:val="30"/>
          <w:lang w:val="zh-TW"/>
        </w:rPr>
        <w:t>二、对象</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凡在深圳市合法注册登记且符合申请条件的企事业单位（以下简称单位），均可向深圳市会计协会申请对本单位进行财会管理规范化评价认定。</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大型企事业单位或企事业单位的主管部门也可委托深圳市会计协会对其下属单位进行财会管理规范化评价认定。</w:t>
      </w:r>
    </w:p>
    <w:p>
      <w:pPr>
        <w:pStyle w:val="6"/>
        <w:snapToGrid w:val="0"/>
        <w:spacing w:line="520" w:lineRule="exact"/>
        <w:ind w:left="560" w:firstLine="0"/>
        <w:rPr>
          <w:rFonts w:ascii="宋体" w:hAnsi="宋体" w:eastAsia="宋体"/>
          <w:b/>
          <w:sz w:val="30"/>
          <w:szCs w:val="30"/>
          <w:lang w:val="zh-TW"/>
        </w:rPr>
      </w:pPr>
      <w:r>
        <w:rPr>
          <w:rFonts w:hint="eastAsia" w:ascii="宋体" w:hAnsi="宋体" w:eastAsia="等线"/>
          <w:b/>
          <w:sz w:val="30"/>
          <w:szCs w:val="30"/>
          <w:lang w:val="zh-TW"/>
        </w:rPr>
        <w:t>三、</w:t>
      </w:r>
      <w:r>
        <w:rPr>
          <w:rFonts w:hint="eastAsia" w:ascii="宋体" w:hAnsi="宋体" w:eastAsia="宋体"/>
          <w:b/>
          <w:sz w:val="30"/>
          <w:szCs w:val="30"/>
          <w:lang w:val="zh-TW"/>
        </w:rPr>
        <w:t>性质、定位和作用</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1、性质和定位。对企事业单位进行专业评价认定是行业协会实施行业管理和业务建设的自律行为，有别于行政主管部门对下属单位的评比达标表彰活动。财会管理规范化评价是对企事业单位管理水平的一项带有基础性质的专业水平评价。随着条件的逐步具备，协会将陆续开展财务评价、绩效评价、信用评价等相关评价。</w:t>
      </w:r>
    </w:p>
    <w:p>
      <w:pPr>
        <w:pStyle w:val="6"/>
        <w:snapToGrid w:val="0"/>
        <w:spacing w:line="520" w:lineRule="exact"/>
        <w:ind w:firstLine="600" w:firstLineChars="200"/>
        <w:rPr>
          <w:rFonts w:hint="eastAsia" w:ascii="宋体" w:hAnsi="宋体" w:eastAsia="宋体"/>
          <w:sz w:val="30"/>
          <w:szCs w:val="30"/>
          <w:lang w:val="zh-TW" w:eastAsia="zh-TW"/>
        </w:rPr>
      </w:pPr>
      <w:r>
        <w:rPr>
          <w:rFonts w:hint="eastAsia" w:ascii="宋体" w:hAnsi="宋体" w:eastAsia="宋体"/>
          <w:sz w:val="30"/>
          <w:szCs w:val="30"/>
          <w:lang w:val="zh-TW"/>
        </w:rPr>
        <w:t>2、作用。财会管理规范化评价认定对企事业单位的内部管理、市场形象、诚信记录、业务拓展、人才引进、政策享受等方面将产生积极的提升作用。</w:t>
      </w:r>
    </w:p>
    <w:p>
      <w:pPr>
        <w:pStyle w:val="6"/>
        <w:snapToGrid w:val="0"/>
        <w:spacing w:line="520" w:lineRule="exact"/>
        <w:ind w:firstLine="602" w:firstLineChars="200"/>
        <w:rPr>
          <w:rFonts w:hint="eastAsia" w:ascii="宋体" w:hAnsi="宋体" w:eastAsia="宋体"/>
          <w:b/>
          <w:sz w:val="30"/>
          <w:szCs w:val="30"/>
          <w:lang w:val="zh-TW"/>
        </w:rPr>
      </w:pPr>
      <w:r>
        <w:rPr>
          <w:rFonts w:hint="eastAsia" w:ascii="宋体" w:hAnsi="宋体" w:eastAsia="宋体"/>
          <w:b/>
          <w:sz w:val="30"/>
          <w:szCs w:val="30"/>
          <w:lang w:val="zh-TW"/>
        </w:rPr>
        <w:t>四、总体思路</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1、评价依据和步骤。首先由申请单位提供法定或权威部门、机构对被评价对象的相关评审、考核结论以及申请单位的相关情况数据等资料。协会在此基础上组织专家从财会管理的视角，对被评价对象进行审查确认和调研评价。</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2、“三结合”原则。通过若干条款的设置，体现结果导向与过程跟踪相结合、正面肯定与负面否决相结合、局部与整体相结合的“三结合”原则，以求准确高效可控。</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3、认定和整改。经过规定程序后，协会向通过评价认定的单位授予“财会管理规范单位”称号；向未通过评价认定的单位反馈评价结果和整改意见。未通过评价认定的单位可委托深圳市会计协会进行整改，也可以自行整改。</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4、有效期。“财会管理规范单位”称号有效期为3年。</w:t>
      </w:r>
    </w:p>
    <w:p>
      <w:pPr>
        <w:pStyle w:val="6"/>
        <w:snapToGrid w:val="0"/>
        <w:spacing w:line="520" w:lineRule="exact"/>
        <w:ind w:firstLine="602" w:firstLineChars="200"/>
        <w:rPr>
          <w:rFonts w:ascii="宋体" w:hAnsi="宋体" w:eastAsia="宋体"/>
          <w:b/>
          <w:sz w:val="30"/>
          <w:szCs w:val="30"/>
          <w:lang w:val="zh-TW"/>
        </w:rPr>
      </w:pPr>
      <w:r>
        <w:rPr>
          <w:rFonts w:hint="eastAsia" w:ascii="宋体" w:hAnsi="宋体" w:eastAsia="宋体"/>
          <w:b/>
          <w:sz w:val="30"/>
          <w:szCs w:val="30"/>
          <w:lang w:val="zh-TW"/>
        </w:rPr>
        <w:t>五、申请条件</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具备以下基本条件任意一条的单位可向深圳市会计协会申请进行财会管理规范化评价认定：</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1、前3年连续获得会计师事务所出具的无保留意见年度审计报告或内部控制审计报告或风险管理审计报告。</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2、前两年内曾被以下部门或单位评为财会、纳税、审计、内控等其中一项工作先进单位：</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（1）市一级财政主管部门、国资主管部门、税务主管部门、审计主管部门。</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（2）市辖行政区或新区。</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（3）中央企业（总部）。</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（4）世界500强企业。</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（5）深圳市会计协会认定的其他部门或单位。</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3、主要负责人（法人代表</w:t>
      </w:r>
      <w:r>
        <w:rPr>
          <w:rFonts w:hint="eastAsia" w:ascii="宋体" w:hAnsi="宋体" w:eastAsia="宋体"/>
          <w:sz w:val="30"/>
          <w:szCs w:val="30"/>
          <w:lang w:val="en-US" w:eastAsia="zh-CN"/>
        </w:rPr>
        <w:t>或总经理</w:t>
      </w:r>
      <w:r>
        <w:rPr>
          <w:rFonts w:hint="eastAsia" w:ascii="宋体" w:hAnsi="宋体" w:eastAsia="宋体"/>
          <w:sz w:val="30"/>
          <w:szCs w:val="30"/>
          <w:lang w:val="zh-TW" w:eastAsia="zh-CN"/>
        </w:rPr>
        <w:t>）或财务负责人获深圳市或省级以上（含）劳模或五一劳动奖章。</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4、财务负责人（含总会计师、财务总监、财务部长、首席财务官等，下同）获深圳市或省级以上会计先进个人称号；审计负责人（含总审计师、审计部长等，下同）获深圳市或省级以上审计先进个人称号。</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zh-TW" w:eastAsia="zh-CN"/>
        </w:rPr>
        <w:t>5、单位或单位主要负责人、财务审计负责人获深圳市会计协会认可的其他奖项或荣誉。</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6、深圳市会计协会认可的生产经营处于正常状态、可资核查认定的其他企事业单位。</w:t>
      </w:r>
    </w:p>
    <w:p>
      <w:pPr>
        <w:pStyle w:val="6"/>
        <w:snapToGrid w:val="0"/>
        <w:spacing w:line="520" w:lineRule="exact"/>
        <w:ind w:firstLine="602" w:firstLineChars="200"/>
        <w:rPr>
          <w:rFonts w:ascii="宋体" w:hAnsi="宋体" w:eastAsia="宋体"/>
          <w:b/>
          <w:sz w:val="30"/>
          <w:szCs w:val="30"/>
          <w:lang w:val="zh-TW"/>
        </w:rPr>
      </w:pPr>
      <w:r>
        <w:rPr>
          <w:rFonts w:hint="eastAsia" w:ascii="宋体" w:hAnsi="宋体" w:eastAsia="宋体"/>
          <w:b/>
          <w:sz w:val="30"/>
          <w:szCs w:val="30"/>
          <w:lang w:val="zh-TW"/>
        </w:rPr>
        <w:t>六、评价认定程序</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zh-TW" w:eastAsia="zh-CN"/>
        </w:rPr>
        <w:t>企事业单位财会管理规范化评价认定工作按以下程序进行：</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en-US" w:eastAsia="zh-CN"/>
        </w:rPr>
        <w:t>1、</w:t>
      </w:r>
      <w:r>
        <w:rPr>
          <w:rFonts w:hint="eastAsia" w:ascii="宋体" w:hAnsi="宋体" w:eastAsia="宋体"/>
          <w:sz w:val="30"/>
          <w:szCs w:val="30"/>
          <w:lang w:val="zh-TW" w:eastAsia="zh-CN"/>
        </w:rPr>
        <w:t>单位申请。有需求的单位填写</w:t>
      </w:r>
      <w:r>
        <w:rPr>
          <w:rFonts w:hint="eastAsia" w:ascii="宋体" w:hAnsi="宋体" w:eastAsia="宋体"/>
          <w:sz w:val="30"/>
          <w:szCs w:val="30"/>
          <w:lang w:val="en-US" w:eastAsia="zh-CN"/>
        </w:rPr>
        <w:t>《</w:t>
      </w:r>
      <w:r>
        <w:rPr>
          <w:rFonts w:hint="eastAsia" w:ascii="宋体" w:hAnsi="宋体" w:eastAsia="宋体"/>
          <w:sz w:val="30"/>
          <w:szCs w:val="30"/>
          <w:lang w:val="zh-TW" w:eastAsia="zh-CN"/>
        </w:rPr>
        <w:t>企事业单位财会管理规范</w:t>
      </w:r>
      <w:r>
        <w:rPr>
          <w:rFonts w:hint="eastAsia" w:ascii="宋体" w:hAnsi="宋体" w:eastAsia="宋体"/>
          <w:sz w:val="30"/>
          <w:szCs w:val="30"/>
          <w:lang w:val="en-US" w:eastAsia="zh-CN"/>
        </w:rPr>
        <w:t>化</w:t>
      </w:r>
      <w:r>
        <w:rPr>
          <w:rFonts w:hint="eastAsia" w:ascii="宋体" w:hAnsi="宋体" w:eastAsia="宋体"/>
          <w:sz w:val="30"/>
          <w:szCs w:val="30"/>
          <w:lang w:val="zh-TW" w:eastAsia="zh-CN"/>
        </w:rPr>
        <w:t>评价认定评审表》（</w:t>
      </w:r>
      <w:r>
        <w:rPr>
          <w:rFonts w:hint="eastAsia" w:ascii="宋体" w:hAnsi="宋体" w:eastAsia="宋体"/>
          <w:sz w:val="30"/>
          <w:szCs w:val="30"/>
          <w:lang w:val="en-US" w:eastAsia="zh-CN"/>
        </w:rPr>
        <w:t>附件2）</w:t>
      </w:r>
      <w:r>
        <w:rPr>
          <w:rFonts w:hint="eastAsia" w:ascii="宋体" w:hAnsi="宋体" w:eastAsia="宋体"/>
          <w:sz w:val="30"/>
          <w:szCs w:val="30"/>
          <w:lang w:val="zh-TW" w:eastAsia="zh-CN"/>
        </w:rPr>
        <w:t>向市会计协会提出申请。</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en-US" w:eastAsia="zh-CN"/>
        </w:rPr>
        <w:t>2、</w:t>
      </w:r>
      <w:r>
        <w:rPr>
          <w:rFonts w:hint="eastAsia" w:ascii="宋体" w:hAnsi="宋体" w:eastAsia="宋体"/>
          <w:sz w:val="30"/>
          <w:szCs w:val="30"/>
          <w:lang w:val="zh-TW" w:eastAsia="zh-CN"/>
        </w:rPr>
        <w:t>资格审查。会计协会工作人员对单位报来的</w:t>
      </w:r>
      <w:r>
        <w:rPr>
          <w:rFonts w:hint="eastAsia" w:ascii="宋体" w:hAnsi="宋体" w:eastAsia="宋体"/>
          <w:sz w:val="30"/>
          <w:szCs w:val="30"/>
          <w:lang w:val="en-US" w:eastAsia="zh-CN"/>
        </w:rPr>
        <w:t>评审</w:t>
      </w:r>
      <w:r>
        <w:rPr>
          <w:rFonts w:hint="eastAsia" w:ascii="宋体" w:hAnsi="宋体" w:eastAsia="宋体"/>
          <w:sz w:val="30"/>
          <w:szCs w:val="30"/>
          <w:lang w:val="zh-TW" w:eastAsia="zh-CN"/>
        </w:rPr>
        <w:t>表进行申请资格、表格填写等基础性审查。确认无误后提交专家组，进入评议阶段。专家组主要由协会建立的深圳市会计行业专家库中抽签组成。</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en-US" w:eastAsia="zh-CN"/>
        </w:rPr>
        <w:t>3、</w:t>
      </w:r>
      <w:r>
        <w:rPr>
          <w:rFonts w:hint="eastAsia" w:ascii="宋体" w:hAnsi="宋体" w:eastAsia="宋体"/>
          <w:sz w:val="30"/>
          <w:szCs w:val="30"/>
          <w:lang w:val="zh-TW" w:eastAsia="zh-CN"/>
        </w:rPr>
        <w:t>专家组评议。通过会议评议、询问相关人员和现场调研、会议表决等形式，最后形成评价意见向申请单位反馈。</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zh-TW" w:eastAsia="zh-CN"/>
        </w:rPr>
        <w:t>4、颁发证书匾牌。向通过评价认定的企事业单位颁发“财会管理规范单位”证书和匾牌。</w:t>
      </w:r>
    </w:p>
    <w:p>
      <w:pPr>
        <w:snapToGrid w:val="0"/>
        <w:spacing w:line="520" w:lineRule="exact"/>
        <w:ind w:firstLine="600" w:firstLineChars="200"/>
        <w:rPr>
          <w:rFonts w:hint="eastAsia" w:ascii="宋体" w:hAnsi="宋体" w:eastAsia="宋体"/>
          <w:sz w:val="30"/>
          <w:szCs w:val="30"/>
          <w:lang w:val="zh-TW" w:eastAsia="zh-CN"/>
        </w:rPr>
      </w:pPr>
      <w:r>
        <w:rPr>
          <w:rFonts w:hint="eastAsia" w:ascii="宋体" w:hAnsi="宋体" w:eastAsia="宋体"/>
          <w:sz w:val="30"/>
          <w:szCs w:val="30"/>
          <w:lang w:val="zh-TW" w:eastAsia="zh-CN"/>
        </w:rPr>
        <w:t>5、向经评价未获认定的单位反馈结果及具体意见。</w:t>
      </w:r>
    </w:p>
    <w:p>
      <w:pPr>
        <w:pStyle w:val="6"/>
        <w:snapToGrid w:val="0"/>
        <w:spacing w:line="520" w:lineRule="exact"/>
        <w:ind w:firstLine="602" w:firstLineChars="200"/>
        <w:rPr>
          <w:rFonts w:ascii="宋体" w:hAnsi="宋体" w:eastAsia="宋体"/>
          <w:b/>
          <w:sz w:val="30"/>
          <w:szCs w:val="30"/>
          <w:lang w:val="zh-TW"/>
        </w:rPr>
      </w:pPr>
      <w:r>
        <w:rPr>
          <w:rFonts w:hint="eastAsia" w:ascii="宋体" w:hAnsi="宋体" w:eastAsia="宋体"/>
          <w:b/>
          <w:sz w:val="30"/>
          <w:szCs w:val="30"/>
          <w:lang w:val="zh-TW"/>
        </w:rPr>
        <w:t>七、评价内容</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企事业单位财会管理规范化评价认定主要关注和审查以下内容：</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1、执行会计法规方面（以《中华人民共和国会计法》、《中华人民共和国注册会计师法》及财政部颁布的《总会计师条例》等法规为依据）。</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2、会计基础工作规范方面（主要依据财政部颁布的《会计基础工作规范》（2019年修订））。</w:t>
      </w:r>
    </w:p>
    <w:p>
      <w:pPr>
        <w:snapToGrid w:val="0"/>
        <w:spacing w:line="520" w:lineRule="exact"/>
        <w:ind w:firstLine="600" w:firstLineChars="200"/>
        <w:rPr>
          <w:rFonts w:ascii="宋体" w:hAnsi="宋体" w:eastAsia="宋体"/>
          <w:sz w:val="30"/>
          <w:szCs w:val="30"/>
          <w:lang w:val="zh-TW" w:eastAsia="zh-CN"/>
        </w:rPr>
      </w:pPr>
      <w:r>
        <w:rPr>
          <w:rFonts w:hint="eastAsia" w:ascii="宋体" w:hAnsi="宋体" w:eastAsia="宋体"/>
          <w:sz w:val="30"/>
          <w:szCs w:val="30"/>
          <w:lang w:val="zh-TW" w:eastAsia="zh-CN"/>
        </w:rPr>
        <w:t>3、执行会计准则、财务通则方面（主要依据财政部颁布的《企业会计准则》、《政府会计准则》、《事业单位会计制度》、《企业财务通则》、《事业单位财务规则》等法规制度）。</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4、执行税务法规、金融证券法规、国有资产管理法规、《公司法》及其他经济法规方面（以相关经济法规为依据）。</w:t>
      </w:r>
    </w:p>
    <w:p>
      <w:pPr>
        <w:pStyle w:val="6"/>
        <w:snapToGrid w:val="0"/>
        <w:spacing w:line="520" w:lineRule="exact"/>
        <w:ind w:firstLine="602" w:firstLineChars="200"/>
        <w:rPr>
          <w:rFonts w:ascii="宋体" w:hAnsi="宋体" w:eastAsia="宋体"/>
          <w:b/>
          <w:sz w:val="30"/>
          <w:szCs w:val="30"/>
          <w:lang w:val="zh-TW"/>
        </w:rPr>
      </w:pPr>
      <w:r>
        <w:rPr>
          <w:rFonts w:hint="eastAsia" w:ascii="宋体" w:hAnsi="宋体" w:eastAsia="宋体"/>
          <w:b/>
          <w:sz w:val="30"/>
          <w:szCs w:val="30"/>
          <w:lang w:val="zh-TW"/>
        </w:rPr>
        <w:t>八、罚则</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前两年发生过以下负面情况的单位，不得申请或通过财会管理规范化评价认定；通过财会管理规范化评价认定后3年内发生以下负面情况的单位，其“财会管理规范单位”称号予以取消：</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1、会计师事务所出具非标准审计意见书或无法表达审计意见书。</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2、单位被申请进入破产程序，上市公司被ST。</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3、单位或单位主要领导因违法乱纪被党政机关公开通报谴责或批评。</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4、单位主要领导或财务负责人、审计负责人因经济犯罪或职务犯罪被撤职、开除、行政或刑事处分。</w:t>
      </w:r>
    </w:p>
    <w:p>
      <w:pPr>
        <w:pStyle w:val="6"/>
        <w:snapToGrid w:val="0"/>
        <w:spacing w:line="520" w:lineRule="exact"/>
        <w:ind w:firstLine="600" w:firstLineChars="200"/>
        <w:rPr>
          <w:rFonts w:ascii="宋体" w:hAnsi="宋体" w:eastAsia="宋体"/>
          <w:sz w:val="30"/>
          <w:szCs w:val="30"/>
          <w:lang w:val="zh-TW"/>
        </w:rPr>
      </w:pPr>
      <w:r>
        <w:rPr>
          <w:rFonts w:hint="eastAsia" w:ascii="宋体" w:hAnsi="宋体" w:eastAsia="宋体"/>
          <w:sz w:val="30"/>
          <w:szCs w:val="30"/>
          <w:lang w:val="zh-TW"/>
        </w:rPr>
        <w:t>5、单位或单位财务部门、审计部门发生重大渎职、舞弊甚至贪污盗窃等经济犯罪案件或情节。</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6、单位在安全生产、环境污染、社会稳定等方面发生重大责任事故。</w:t>
      </w:r>
    </w:p>
    <w:p>
      <w:pPr>
        <w:pStyle w:val="6"/>
        <w:snapToGrid w:val="0"/>
        <w:spacing w:line="520" w:lineRule="exact"/>
        <w:ind w:firstLine="602" w:firstLineChars="200"/>
        <w:rPr>
          <w:rFonts w:hint="eastAsia" w:ascii="宋体" w:hAnsi="宋体" w:eastAsia="宋体"/>
          <w:b/>
          <w:sz w:val="30"/>
          <w:szCs w:val="30"/>
          <w:lang w:val="zh-TW"/>
        </w:rPr>
      </w:pPr>
      <w:r>
        <w:rPr>
          <w:rFonts w:hint="eastAsia" w:ascii="宋体" w:hAnsi="宋体" w:eastAsia="宋体"/>
          <w:b/>
          <w:sz w:val="30"/>
          <w:szCs w:val="30"/>
          <w:lang w:val="zh-TW"/>
        </w:rPr>
        <w:t>九、</w:t>
      </w:r>
      <w:r>
        <w:rPr>
          <w:rFonts w:hint="eastAsia" w:ascii="宋体" w:hAnsi="宋体" w:eastAsia="宋体"/>
          <w:b/>
          <w:sz w:val="30"/>
          <w:szCs w:val="30"/>
          <w:lang w:val="en-US" w:eastAsia="zh-CN"/>
        </w:rPr>
        <w:t>其他事项</w:t>
      </w:r>
    </w:p>
    <w:p>
      <w:pPr>
        <w:pStyle w:val="6"/>
        <w:numPr>
          <w:ilvl w:val="0"/>
          <w:numId w:val="0"/>
        </w:numPr>
        <w:snapToGrid w:val="0"/>
        <w:spacing w:line="520" w:lineRule="exact"/>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企事业单位财会管理规范化评价认定申请表填写完成后，请将评审表签字、盖章完成后原件扫描发送至深圳市会计协会培训部邮箱或寄至协会培训部。</w:t>
      </w:r>
    </w:p>
    <w:p>
      <w:pPr>
        <w:pStyle w:val="6"/>
        <w:snapToGrid w:val="0"/>
        <w:spacing w:line="520" w:lineRule="exact"/>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 xml:space="preserve">联 系 人：深圳市会计协会培训部 </w:t>
      </w:r>
    </w:p>
    <w:p>
      <w:pPr>
        <w:pStyle w:val="6"/>
        <w:snapToGrid w:val="0"/>
        <w:spacing w:line="520" w:lineRule="exact"/>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 xml:space="preserve">联系电话：0755-23991688（工作日周一至周五）  </w:t>
      </w:r>
    </w:p>
    <w:p>
      <w:pPr>
        <w:pStyle w:val="6"/>
        <w:snapToGrid w:val="0"/>
        <w:spacing w:line="520" w:lineRule="exact"/>
        <w:ind w:left="0" w:leftChars="0"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 xml:space="preserve">电子邮箱：szskjxh666@sina.com </w:t>
      </w:r>
    </w:p>
    <w:p>
      <w:pPr>
        <w:pStyle w:val="6"/>
        <w:snapToGrid w:val="0"/>
        <w:spacing w:line="520" w:lineRule="exact"/>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通讯地址： 深圳市福田区中国凤凰大厦2栋704</w:t>
      </w:r>
    </w:p>
    <w:p>
      <w:pPr>
        <w:pStyle w:val="6"/>
        <w:snapToGrid w:val="0"/>
        <w:spacing w:line="520" w:lineRule="exact"/>
        <w:ind w:firstLine="602" w:firstLineChars="200"/>
        <w:rPr>
          <w:rFonts w:hint="eastAsia" w:ascii="宋体" w:hAnsi="宋体" w:eastAsia="宋体"/>
          <w:b/>
          <w:sz w:val="30"/>
          <w:szCs w:val="30"/>
          <w:lang w:val="zh-TW"/>
        </w:rPr>
      </w:pPr>
      <w:r>
        <w:rPr>
          <w:rFonts w:hint="eastAsia" w:ascii="宋体" w:hAnsi="宋体" w:eastAsia="宋体"/>
          <w:b/>
          <w:sz w:val="30"/>
          <w:szCs w:val="30"/>
          <w:lang w:val="en-US" w:eastAsia="zh-CN"/>
        </w:rPr>
        <w:t>十、</w:t>
      </w:r>
      <w:r>
        <w:rPr>
          <w:rFonts w:hint="eastAsia" w:ascii="宋体" w:hAnsi="宋体" w:eastAsia="宋体"/>
          <w:b/>
          <w:sz w:val="30"/>
          <w:szCs w:val="30"/>
          <w:lang w:val="zh-TW"/>
        </w:rPr>
        <w:t>附则</w:t>
      </w:r>
    </w:p>
    <w:p>
      <w:pPr>
        <w:pStyle w:val="6"/>
        <w:snapToGrid w:val="0"/>
        <w:spacing w:line="520" w:lineRule="exact"/>
        <w:ind w:firstLine="600" w:firstLineChars="200"/>
        <w:rPr>
          <w:rFonts w:hint="eastAsia" w:ascii="宋体" w:hAnsi="宋体" w:eastAsia="宋体"/>
          <w:sz w:val="30"/>
          <w:szCs w:val="30"/>
          <w:lang w:val="zh-TW"/>
        </w:rPr>
      </w:pPr>
      <w:r>
        <w:rPr>
          <w:rFonts w:hint="eastAsia" w:ascii="宋体" w:hAnsi="宋体" w:eastAsia="宋体"/>
          <w:sz w:val="30"/>
          <w:szCs w:val="30"/>
          <w:lang w:val="zh-TW"/>
        </w:rPr>
        <w:t>本方案由深圳市会计协会秘书处负责解释。</w:t>
      </w:r>
    </w:p>
    <w:p>
      <w:pPr>
        <w:pStyle w:val="6"/>
        <w:snapToGrid w:val="0"/>
        <w:spacing w:line="520" w:lineRule="exact"/>
        <w:ind w:firstLine="602" w:firstLineChars="200"/>
        <w:rPr>
          <w:rFonts w:hint="eastAsia" w:ascii="宋体" w:hAnsi="宋体" w:eastAsia="宋体"/>
          <w:b/>
          <w:sz w:val="30"/>
          <w:szCs w:val="30"/>
          <w:lang w:val="en-US" w:eastAsia="zh-CN"/>
        </w:rPr>
      </w:pPr>
    </w:p>
    <w:p>
      <w:pPr>
        <w:rPr>
          <w:rFonts w:hint="default"/>
          <w:b/>
          <w:bCs/>
          <w:sz w:val="30"/>
          <w:szCs w:val="30"/>
          <w:lang w:val="en-US" w:eastAsia="zh-CN"/>
        </w:rPr>
      </w:pPr>
      <w:bookmarkStart w:id="0" w:name="_GoBack"/>
      <w:bookmarkEnd w:id="0"/>
      <w:r>
        <w:rPr>
          <w:rFonts w:hint="eastAsia" w:ascii="宋体" w:hAnsi="宋体" w:eastAsia="宋体"/>
          <w:sz w:val="30"/>
          <w:szCs w:val="30"/>
          <w:lang w:val="en-US" w:eastAsia="zh-CN"/>
        </w:rPr>
        <w:br w:type="page"/>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jliM2U1NjFmZWMxMDJhZjkzMjdiMWEzOWIyNDMifQ=="/>
  </w:docVars>
  <w:rsids>
    <w:rsidRoot w:val="1471162E"/>
    <w:rsid w:val="0C8573BB"/>
    <w:rsid w:val="0D330BC5"/>
    <w:rsid w:val="0E164320"/>
    <w:rsid w:val="106272D9"/>
    <w:rsid w:val="1471162E"/>
    <w:rsid w:val="15CB34A9"/>
    <w:rsid w:val="17AC7EF2"/>
    <w:rsid w:val="17CE13EE"/>
    <w:rsid w:val="18D45672"/>
    <w:rsid w:val="19EF056A"/>
    <w:rsid w:val="19F94F44"/>
    <w:rsid w:val="1A5328A6"/>
    <w:rsid w:val="1D9D00EE"/>
    <w:rsid w:val="25796942"/>
    <w:rsid w:val="2BE5011C"/>
    <w:rsid w:val="32E60304"/>
    <w:rsid w:val="362875DE"/>
    <w:rsid w:val="37BE184F"/>
    <w:rsid w:val="37D83566"/>
    <w:rsid w:val="44417497"/>
    <w:rsid w:val="44CB55AC"/>
    <w:rsid w:val="45E22800"/>
    <w:rsid w:val="482E62B2"/>
    <w:rsid w:val="4BA83F51"/>
    <w:rsid w:val="4D0D72EE"/>
    <w:rsid w:val="535D4141"/>
    <w:rsid w:val="57831D16"/>
    <w:rsid w:val="58DB7C11"/>
    <w:rsid w:val="59704B69"/>
    <w:rsid w:val="5C9D3431"/>
    <w:rsid w:val="5CA50038"/>
    <w:rsid w:val="5E234C2A"/>
    <w:rsid w:val="67446DCC"/>
    <w:rsid w:val="684E59A6"/>
    <w:rsid w:val="6D413DAD"/>
    <w:rsid w:val="6E724A03"/>
    <w:rsid w:val="6EC66318"/>
    <w:rsid w:val="71070572"/>
    <w:rsid w:val="798D4602"/>
    <w:rsid w:val="79B75E20"/>
    <w:rsid w:val="7D8E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ascii="Calibri" w:hAnsi="Calibri" w:eastAsia="宋体"/>
      <w:kern w:val="0"/>
      <w:szCs w:val="22"/>
    </w:rPr>
  </w:style>
  <w:style w:type="paragraph" w:styleId="6">
    <w:name w:val="List Paragraph"/>
    <w:qFormat/>
    <w:uiPriority w:val="0"/>
    <w:pPr>
      <w:widowControl w:val="0"/>
      <w:ind w:firstLine="42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3063</Words>
  <Characters>3113</Characters>
  <Lines>0</Lines>
  <Paragraphs>0</Paragraphs>
  <TotalTime>43</TotalTime>
  <ScaleCrop>false</ScaleCrop>
  <LinksUpToDate>false</LinksUpToDate>
  <CharactersWithSpaces>3184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2022-07-18T06:34:00Z</dcterms:created>
  <dc:creator>Michelle</dc:creator>
  <cp:lastModifiedBy>撼宇</cp:lastModifiedBy>
  <cp:lastPrinted>2022-07-18T09:33:00Z</cp:lastPrinted>
  <dcterms:modified xsi:type="dcterms:W3CDTF">2022-10-18T10:20:44Z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FCABA82C524C48B78EE2922C4AB6EFED</vt:lpwstr>
  </property>
</Properties>
</file>